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03:48 МСК · База обновлена: 25.07.2026, 03:33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на консультацию к пациенту М, 87 лет. В течение 23 лет принимает клонидин 300 мкг 3 раза в сутки с целью терапии артериальной гипертензии. Так же по поводу СД 2 типа получает метформин. Периодически принимает НПВС из-за болей в коленных суставах.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Активно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течении 23 лет.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нормально. Образование среднее. Питание регулярное, в недостаточном количестве. Жилищно-бытовые условия удовлетворительные. Вдовец. +</w:t>
        <w:br/>
        <w:t>Перенесенные заболевания –детские инфекции. +</w:t>
        <w:br/>
        <w:t>Сопутствующие заболевания: Поверхностный атрофический гастрит (ремиссия). +</w:t>
        <w:br/>
        <w:t>Наследственность-не отягощена. +</w:t>
        <w:br/>
        <w:t>Аллергия на новокаин - крапивница. Вредные привычки: курит с 15-ти лет по пачке сигарет в день.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170 см, вес 95 кг. +</w:t>
        <w:br/>
        <w:t>Состояние средней степени тяжести, сознание ясное. Кожа, слизистые бледно-розовой окраски, кожа повышенной влажности. Периферические лимфатическое узлы не увеличены. Дыхание везикулярное, хрипов нет, ЧДД=20/мин. Тоны сердца ясные, ритмичные, шумов нет. ЧСС 70/мин. АД 142/96 мм рт. ст.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2. Дополнительная информация</w:t>
      </w:r>
    </w:p>
    <w:p>
      <w:pPr>
        <w:spacing w:after="58"/>
      </w:pPr>
      <w:r>
        <w:rPr>
          <w:b w:val="0"/>
          <w:i w:val="0"/>
        </w:rPr>
        <w:t>При плановой диспансеризации была обнаружена выраженная брадикардия – 43 удара в минуту. Что было расценено как действие клонидина. Терапевт рекомендовал отменить клонидин и назначил другую антигипертензивную терапию. На следующий день пациент отметил повышение АД до 161/100 мм рт. ст.</w:t>
      </w:r>
    </w:p>
    <w:p>
      <w:pPr>
        <w:pStyle w:val="Heading2"/>
      </w:pPr>
      <w:r>
        <w:t>1.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Данное повышение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возрастными изменениями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основного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симптомом нового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нежелательной лекарственной реакцией (НЛР)</w:t>
      </w:r>
    </w:p>
    <w:p>
      <w:pPr>
        <w:ind w:left="504"/>
      </w:pPr>
      <w:r>
        <w:rPr>
          <w:b w:val="0"/>
          <w:i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Тип развившейся нежелательной реакции (НЛР) - это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</w:t>
      </w:r>
    </w:p>
    <w:p>
      <w:pPr>
        <w:ind w:left="504"/>
      </w:pPr>
      <w:r>
        <w:rPr>
          <w:b w:val="0"/>
          <w:i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достижения целевого АД, данному пациенту наряду с блокаторами рецепторов к АТ IIЭ, бета блокаторами и блокаторами кальциевых каналов возможно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альфа блокатор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бета миметик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 рецепторов к АТ 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ингибитор АПФ</w:t>
      </w:r>
    </w:p>
    <w:p>
      <w:pPr>
        <w:ind w:left="504"/>
      </w:pPr>
      <w:r>
        <w:rPr>
          <w:b w:val="0"/>
          <w:i/>
        </w:rPr>
        <w:t>К рекомендуемым комбинациям трех антигипертензивных препаратов относятся: ИАПФ + дигидропиридиновый АК + ББ; БРА + дигидропиридиновый АК + ББ; ИАПФ + АК + диуретик; БРА + АК + диуретик; ИАПФ + диуретик + ББ; БРА + диуретик + ББ; дигидропиридиновый АК + диуретик + ББ.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был назначен рамиприл 2,5 мг {asterisk} 1 раз в сутки, совместно с приемом гидрохлортиазида. Данная комбинация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синергичной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рациональной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потенциально опасной для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нерациональной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рациональной</w:t>
      </w:r>
    </w:p>
    <w:p>
      <w:pPr>
        <w:ind w:left="504"/>
      </w:pPr>
      <w:r>
        <w:rPr>
          <w:b w:val="0"/>
          <w:i/>
        </w:rPr>
        <w:t>Все преимущества комбинированной терапии присущи только рациональным комбинациям АГП. К ним относятся: ИАПФ + диуретик; БРА + диуретик; ИАПФ + АК; БРА + АК, дигидропиридиновый АК + ББ, АК + диуретик, ББ + диуретик.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увеличения приверженности данного пациента терапии ему можно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принимать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отменить 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принимать двойную дозу эналаприла один раз в сутки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принимать комбинированный препарат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принимать комбинированный препарат</w:t>
      </w:r>
    </w:p>
    <w:p>
      <w:pPr>
        <w:ind w:left="504"/>
      </w:pPr>
      <w:r>
        <w:rPr>
          <w:b w:val="0"/>
          <w:i/>
        </w:rPr>
        <w:t>После того, как пациенту будут подобраны дозы гидрохлоротиазида и рамиприла, для большего удобства пациентов их прием может быть заменен на прием комбинированного препарата Амприлан® НЛ.</w:t>
        <w:br/>
        <w:br/>
        <w:t>Одновременное применение рамиприла и гидрохлоротиазида</w:t>
        <w:br/>
        <w:br/>
        <w:t>В клинических исследованиях применение данной комбинации приводило к более выраженному снижению АД, чем при применении любого из препаратов отдельно. При одновременном применении рамиприла и гидрохлоротиазида наблюдается тенденция к предотвращению потери ионов калия, связанной с применением этих диуретиков, предположительно, за счет блокады ренин-ангиотензин-альдостероновой системы (РААС). Применение комбинации ингибитора АПФ и тиазидного диуретика вызывает синергический эффект, а также снижает риск развития гипокалиемии, вызываемой применением диуретика отдельно.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Через 2 недели приема пациент обратился к терапевту для контроля АД и предъявил жалобы на головную боль, чувство сердцебиения и сухой кашель. Данные жалобы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новым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проявлением артериальной гипертензии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нежелательной лекарственной реакцией (НЛР)</w:t>
      </w:r>
    </w:p>
    <w:p>
      <w:pPr>
        <w:ind w:left="504"/>
      </w:pPr>
      <w:r>
        <w:rPr>
          <w:b w:val="0"/>
          <w:i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Препаратом, из принимаемых пациентом вызвавшим данные НЯ,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метформин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рамиприл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рамиприл</w:t>
      </w:r>
    </w:p>
    <w:p>
      <w:pPr>
        <w:ind w:left="504"/>
      </w:pPr>
      <w:r>
        <w:rPr>
          <w:b w:val="0"/>
          <w:i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лабораторном контроле, через месяц после приема комбинированного препарата, бала выявлена гипергликемия 7,9 ммоль/л. Данное изменение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дебютом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реакцией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нормальным повышением для 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дебютом несахарного диабета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нежелательной реакцией</w:t>
      </w:r>
    </w:p>
    <w:p>
      <w:pPr>
        <w:ind w:left="504"/>
      </w:pPr>
      <w:r>
        <w:rPr>
          <w:b w:val="0"/>
          <w:i/>
        </w:rPr>
        <w:t>Нарушения со стороны обмена веществ и питания: неадекватный контроль сахарного диабета, снижение толерантности к глюкозе, повышение концентрации глюкозы крови, повышение концентрации мочевой кислоты в плазме крови, обострение подагры, повышение концентрации общего холестерина и/или триглицеридов в плазме крови (препарат содержит гидрохлоротиазид)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Согласно ВОЗ, Тип А (предсказуемые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результат фармакологического действия ЛС</w:t>
      </w:r>
    </w:p>
    <w:p>
      <w:pPr>
        <w:ind w:left="504"/>
      </w:pPr>
      <w:r>
        <w:rPr>
          <w:b w:val="0"/>
          <w:i/>
        </w:rPr>
        <w:t>Тип А (предсказуемые реакции) 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ВОЗ, Тип В (непредсказуемые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отсроченные НЛР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реакции, возникающие у небольшого числа больных, не зависящие от дозы препарата</w:t>
      </w:r>
    </w:p>
    <w:p>
      <w:pPr>
        <w:ind w:left="504"/>
      </w:pPr>
      <w:r>
        <w:rPr>
          <w:b w:val="0"/>
          <w:i/>
        </w:rPr>
        <w:t>Тип В (непредсказуемые реакции) - реакции, возникающие у небольшого числа больных, не зависящие от дозы препарата, более редкие, чем реакции типа А, непредсказуемы, часто относятся к числу серьезных и сложны для изучения (трудно воспроизводимы в условиях эксперимента).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ВОЗ, Тип С («химические»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реакции, возникающие при длительном приеме ЛС</w:t>
      </w:r>
    </w:p>
    <w:p>
      <w:pPr>
        <w:ind w:left="504"/>
      </w:pPr>
      <w:r>
        <w:rPr>
          <w:b w:val="0"/>
          <w:i/>
        </w:rPr>
        <w:t>Тип С («химические» реакции) - реакции, возникающие при длительном приеме ЛС. Часто они проявляются развитием толерантности, лекарственной зависимости, синдромом отмены. Особым видом НЛР типа С считают лекарственную зависимость.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Типом развившейся нежелательной реакции (гипергликемия) является тип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</w:t>
      </w:r>
    </w:p>
    <w:p>
      <w:pPr>
        <w:ind w:left="504"/>
      </w:pPr>
      <w:r>
        <w:rPr>
          <w:b w:val="0"/>
          <w:i/>
        </w:rPr>
        <w:t>Тип А (предсказуемые реакции)-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8815/?anchor=paragraph_b7v67s#paragraph_b7v67s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P62_24/" TargetMode="External"/><Relationship Id="rId24" Type="http://schemas.openxmlformats.org/officeDocument/2006/relationships/hyperlink" Target="https://library.mededtech.ru/rest/documents/KP62_24/#paragraph_qlev98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grls.rosminzdrav.ru/Grls_View_v2.aspx?routingGuid=7e7a4275-6899-45b9-a37c-4d35e45583d2&amp;t=" TargetMode="External"/><Relationship Id="rId27" Type="http://schemas.openxmlformats.org/officeDocument/2006/relationships/hyperlink" Target="https://library.mededtech.ru/rest/documents/ISBN9785970458815/?anchor=paragraph_sgd3e0#paragraph_sgd3e0" TargetMode="External"/><Relationship Id="rId28" Type="http://schemas.openxmlformats.org/officeDocument/2006/relationships/hyperlink" Target="https://library.mededtech.ru/rest/documents/ISBN9785970458815/?anchor=paragraph_4s47sr#paragraph_4s47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